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145FE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45FE7" w:rsidRPr="00145FE7">
              <w:rPr>
                <w:rFonts w:asciiTheme="majorHAnsi" w:hAnsiTheme="majorHAnsi" w:cs="Arial"/>
                <w:b/>
                <w:sz w:val="18"/>
                <w:szCs w:val="18"/>
              </w:rPr>
              <w:t>Chemistry of Biologically Significant Complexes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1268B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268BB">
              <w:rPr>
                <w:rFonts w:asciiTheme="majorHAnsi" w:hAnsiTheme="majorHAnsi" w:cs="Arial"/>
                <w:b/>
                <w:sz w:val="18"/>
                <w:szCs w:val="18"/>
              </w:rPr>
              <w:t>CBSC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45FE7">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45FE7">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765053">
                    <w:rPr>
                      <w:rFonts w:asciiTheme="majorHAnsi" w:hAnsiTheme="majorHAnsi" w:cs="Arial"/>
                      <w:b/>
                      <w:sz w:val="18"/>
                      <w:szCs w:val="18"/>
                    </w:rPr>
                  </w:r>
                  <w:r w:rsidR="00765053">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45FE7">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45FE7">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45FE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45FE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45FE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45FE7">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45FE7">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45FE7">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45FE7">
              <w:rPr>
                <w:rFonts w:asciiTheme="majorHAnsi" w:hAnsiTheme="majorHAnsi" w:cs="Arial"/>
                <w:b/>
                <w:sz w:val="18"/>
                <w:szCs w:val="18"/>
              </w:rPr>
              <w:t>84,77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45FE7">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45FE7">
              <w:rPr>
                <w:rFonts w:asciiTheme="majorHAnsi" w:hAnsiTheme="majorHAnsi" w:cs="Arial"/>
                <w:b/>
                <w:sz w:val="18"/>
                <w:szCs w:val="18"/>
              </w:rPr>
              <w:t>118,52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145FE7">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45FE7" w:rsidRPr="00145FE7">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145FE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45FE7" w:rsidRPr="00145FE7">
              <w:rPr>
                <w:rFonts w:asciiTheme="majorHAnsi" w:hAnsiTheme="majorHAnsi" w:cs="Arial"/>
                <w:b/>
                <w:sz w:val="18"/>
                <w:szCs w:val="18"/>
              </w:rPr>
              <w:t xml:space="preserve">Chemistry / Chemistry /specialization Applied Chemistry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45FE7" w:rsidRPr="00145FE7">
              <w:rPr>
                <w:rFonts w:asciiTheme="majorHAnsi" w:hAnsiTheme="majorHAnsi" w:cs="Arial"/>
                <w:b/>
                <w:sz w:val="18"/>
                <w:szCs w:val="18"/>
              </w:rPr>
              <w:t>Majda Srabović,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45FE7" w:rsidRPr="00145FE7">
              <w:rPr>
                <w:rFonts w:asciiTheme="majorHAnsi" w:hAnsiTheme="majorHAnsi" w:cs="Arial"/>
                <w:b/>
                <w:sz w:val="18"/>
                <w:szCs w:val="18"/>
              </w:rPr>
              <w:t xml:space="preserve">Acquisition of theoretical and practical knowledge on the properties and complexation capabilities of biologically active compounds. Acquisition of specialized knowledge necessary for research work in the field of the application of various </w:t>
            </w:r>
            <w:r w:rsidR="00145FE7" w:rsidRPr="00145FE7">
              <w:rPr>
                <w:rFonts w:asciiTheme="majorHAnsi" w:hAnsiTheme="majorHAnsi" w:cs="Arial"/>
                <w:b/>
                <w:sz w:val="18"/>
                <w:szCs w:val="18"/>
              </w:rPr>
              <w:lastRenderedPageBreak/>
              <w:t>complexing agents.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45FE7" w:rsidRPr="00145FE7">
              <w:rPr>
                <w:rFonts w:asciiTheme="majorHAnsi" w:hAnsiTheme="majorHAnsi" w:cs="Arial"/>
                <w:b/>
                <w:sz w:val="18"/>
                <w:szCs w:val="18"/>
              </w:rPr>
              <w:t>Upon successful completion of the course, the student is able to apply the acquired knowledge and skills in studying the chemistry of complexing agents and biologically active substances, as well as the application of complexes in the pharmaceutical industry, food industry, and agriculture.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45FE7" w:rsidRPr="00145FE7" w:rsidRDefault="00607A6E" w:rsidP="00145FE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45FE7" w:rsidRPr="00145FE7">
              <w:rPr>
                <w:rFonts w:asciiTheme="majorHAnsi" w:hAnsiTheme="majorHAnsi" w:cs="Arial"/>
                <w:b/>
                <w:sz w:val="18"/>
                <w:szCs w:val="18"/>
              </w:rPr>
              <w:t xml:space="preserve">Complexation: “molecular recognition” interactions, equilibrium constants, and inclusion complexation </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 xml:space="preserve">•  Structural characteristics of ligands: linear, branched, and cyclic ligands </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 xml:space="preserve">•  Selection of ligands and the functions of ligands in practical applications </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 xml:space="preserve">•  Micellar solubilization </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 xml:space="preserve">•  Cyclodextrin complexes </w:t>
            </w:r>
          </w:p>
          <w:p w:rsidR="00CB72ED" w:rsidRPr="00B96B4F"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  Coordination compounds and coordination complexes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45FE7" w:rsidRPr="00145FE7" w:rsidRDefault="00607A6E" w:rsidP="00145FE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45FE7" w:rsidRPr="00145FE7">
              <w:rPr>
                <w:rFonts w:asciiTheme="majorHAnsi" w:hAnsiTheme="majorHAnsi" w:cs="Arial"/>
                <w:b/>
                <w:sz w:val="18"/>
                <w:szCs w:val="18"/>
              </w:rPr>
              <w:t>In order to ensure effective teaching delivery and the achievement of the expected course objectives and student competencies by the end of the semester, various teaching methods are employed in the course:</w:t>
            </w:r>
          </w:p>
          <w:p w:rsidR="00145FE7" w:rsidRPr="00145FE7" w:rsidRDefault="00145FE7" w:rsidP="00145FE7">
            <w:pPr>
              <w:pStyle w:val="NoSpacing"/>
              <w:rPr>
                <w:rFonts w:asciiTheme="majorHAnsi" w:hAnsiTheme="majorHAnsi" w:cs="Arial"/>
                <w:b/>
                <w:sz w:val="18"/>
                <w:szCs w:val="18"/>
              </w:rPr>
            </w:pPr>
            <w:r>
              <w:rPr>
                <w:rFonts w:asciiTheme="majorHAnsi" w:hAnsiTheme="majorHAnsi" w:cs="Arial"/>
                <w:b/>
                <w:sz w:val="18"/>
                <w:szCs w:val="18"/>
              </w:rPr>
              <w:t xml:space="preserve">- </w:t>
            </w:r>
            <w:r w:rsidRPr="00145FE7">
              <w:rPr>
                <w:rFonts w:asciiTheme="majorHAnsi" w:hAnsiTheme="majorHAnsi" w:cs="Arial"/>
                <w:b/>
                <w:sz w:val="18"/>
                <w:szCs w:val="18"/>
              </w:rPr>
              <w:t xml:space="preserve">lectures using multimedia tools, active learning techniques, and active student participation and discussions; </w:t>
            </w:r>
          </w:p>
          <w:p w:rsidR="00145FE7" w:rsidRPr="00145FE7" w:rsidRDefault="00145FE7" w:rsidP="00145FE7">
            <w:pPr>
              <w:pStyle w:val="NoSpacing"/>
              <w:rPr>
                <w:rFonts w:asciiTheme="majorHAnsi" w:hAnsiTheme="majorHAnsi" w:cs="Arial"/>
                <w:b/>
                <w:sz w:val="18"/>
                <w:szCs w:val="18"/>
              </w:rPr>
            </w:pPr>
            <w:r>
              <w:rPr>
                <w:rFonts w:asciiTheme="majorHAnsi" w:hAnsiTheme="majorHAnsi" w:cs="Arial"/>
                <w:b/>
                <w:sz w:val="18"/>
                <w:szCs w:val="18"/>
              </w:rPr>
              <w:t xml:space="preserve">- </w:t>
            </w:r>
            <w:r w:rsidRPr="00145FE7">
              <w:rPr>
                <w:rFonts w:asciiTheme="majorHAnsi" w:hAnsiTheme="majorHAnsi" w:cs="Arial"/>
                <w:b/>
                <w:sz w:val="18"/>
                <w:szCs w:val="18"/>
              </w:rPr>
              <w:t xml:space="preserve">seminar paper; </w:t>
            </w:r>
          </w:p>
          <w:p w:rsidR="00CB72ED" w:rsidRPr="00B96B4F" w:rsidRDefault="00145FE7" w:rsidP="00145FE7">
            <w:pPr>
              <w:pStyle w:val="NoSpacing"/>
              <w:rPr>
                <w:rFonts w:asciiTheme="majorHAnsi" w:hAnsiTheme="majorHAnsi" w:cs="Arial"/>
                <w:b/>
                <w:sz w:val="18"/>
                <w:szCs w:val="18"/>
              </w:rPr>
            </w:pPr>
            <w:r>
              <w:rPr>
                <w:rFonts w:asciiTheme="majorHAnsi" w:hAnsiTheme="majorHAnsi" w:cs="Arial"/>
                <w:b/>
                <w:sz w:val="18"/>
                <w:szCs w:val="18"/>
              </w:rPr>
              <w:t xml:space="preserve">- </w:t>
            </w:r>
            <w:r w:rsidRPr="00145FE7">
              <w:rPr>
                <w:rFonts w:asciiTheme="majorHAnsi" w:hAnsiTheme="majorHAnsi" w:cs="Arial"/>
                <w:b/>
                <w:sz w:val="18"/>
                <w:szCs w:val="18"/>
              </w:rPr>
              <w:t>consultations.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45FE7" w:rsidRPr="00145FE7" w:rsidRDefault="00607A6E" w:rsidP="00145FE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45FE7" w:rsidRPr="00145FE7">
              <w:rPr>
                <w:rFonts w:asciiTheme="majorHAnsi" w:hAnsiTheme="majorHAnsi" w:cs="Arial"/>
                <w:b/>
                <w:sz w:val="18"/>
                <w:szCs w:val="18"/>
              </w:rPr>
              <w:t>Written assessment of knowledge: Test 1, Test 2, and Final Examination.</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Test I covers the assessment of knowledge from the planned teaching units and is held after the 7th week of lectures, carrying 20 points.</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Test II covers the assessment of knowledge from the planned teaching units and is held after the 14th week of lectures, carrying 20 points.</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The final examination is graded with 40 points, and the minimum number of points required on the final exam is 2</w:t>
            </w:r>
            <w:r w:rsidR="00025942">
              <w:rPr>
                <w:rFonts w:asciiTheme="majorHAnsi" w:hAnsiTheme="majorHAnsi" w:cs="Arial"/>
                <w:b/>
                <w:sz w:val="18"/>
                <w:szCs w:val="18"/>
              </w:rPr>
              <w:t>0</w:t>
            </w:r>
            <w:r w:rsidRPr="00145FE7">
              <w:rPr>
                <w:rFonts w:asciiTheme="majorHAnsi" w:hAnsiTheme="majorHAnsi" w:cs="Arial"/>
                <w:b/>
                <w:sz w:val="18"/>
                <w:szCs w:val="18"/>
              </w:rPr>
              <w:t>.</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The final student performance is expressed using a numerical, descriptive, or letter grade according to the following scale:</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 xml:space="preserve">0–54                       5                  fail                             F </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 xml:space="preserve">55–64                    6               sufficient                    E </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 xml:space="preserve">65–74                    7                 good                           D </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 xml:space="preserve">75–84                    8              very good                    C </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 xml:space="preserve">85–94                    9              excellent                      B </w:t>
            </w:r>
          </w:p>
          <w:p w:rsidR="00145FE7" w:rsidRPr="00145FE7" w:rsidRDefault="00145FE7" w:rsidP="00145FE7">
            <w:pPr>
              <w:pStyle w:val="NoSpacing"/>
              <w:rPr>
                <w:rFonts w:asciiTheme="majorHAnsi" w:hAnsiTheme="majorHAnsi" w:cs="Arial"/>
                <w:b/>
                <w:sz w:val="18"/>
                <w:szCs w:val="18"/>
              </w:rPr>
            </w:pPr>
            <w:r w:rsidRPr="00145FE7">
              <w:rPr>
                <w:rFonts w:asciiTheme="majorHAnsi" w:hAnsiTheme="majorHAnsi" w:cs="Arial"/>
                <w:b/>
                <w:sz w:val="18"/>
                <w:szCs w:val="18"/>
              </w:rPr>
              <w:t xml:space="preserve">95–100                10            outstanding                 A </w:t>
            </w:r>
          </w:p>
          <w:p w:rsidR="00CB72ED" w:rsidRPr="00B96B4F" w:rsidRDefault="00025942" w:rsidP="00145FE7">
            <w:pPr>
              <w:pStyle w:val="NoSpacing"/>
              <w:rPr>
                <w:rFonts w:asciiTheme="majorHAnsi" w:hAnsiTheme="majorHAnsi" w:cs="Arial"/>
                <w:b/>
                <w:sz w:val="18"/>
                <w:szCs w:val="18"/>
              </w:rPr>
            </w:pPr>
            <w:r w:rsidRPr="00025942">
              <w:rPr>
                <w:rFonts w:asciiTheme="majorHAnsi" w:hAnsiTheme="majorHAnsi" w:cs="Arial"/>
                <w:b/>
                <w:sz w:val="18"/>
                <w:szCs w:val="18"/>
              </w:rPr>
              <w:t>The final grade is obtained by summing the individual points achieved in all forms of assessment throughout the semester. If a student is not satisfied with the final grade, they may annul the points obtained on the final examination and retake it during the resit examination period, or opt for an oral examination.</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25942" w:rsidRPr="00025942" w:rsidRDefault="00607A6E" w:rsidP="0002594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25942" w:rsidRPr="00025942">
              <w:rPr>
                <w:rFonts w:asciiTheme="majorHAnsi" w:hAnsiTheme="majorHAnsi" w:cs="Arial"/>
                <w:b/>
                <w:sz w:val="18"/>
                <w:szCs w:val="18"/>
              </w:rPr>
              <w:t>The course grade is determined according to the following scale:</w:t>
            </w:r>
          </w:p>
          <w:p w:rsidR="00025942" w:rsidRPr="00025942" w:rsidRDefault="00025942" w:rsidP="00025942">
            <w:pPr>
              <w:pStyle w:val="NoSpacing"/>
              <w:rPr>
                <w:rFonts w:asciiTheme="majorHAnsi" w:hAnsiTheme="majorHAnsi" w:cs="Arial"/>
                <w:b/>
                <w:sz w:val="18"/>
                <w:szCs w:val="18"/>
              </w:rPr>
            </w:pPr>
            <w:r w:rsidRPr="00025942">
              <w:rPr>
                <w:rFonts w:asciiTheme="majorHAnsi" w:hAnsiTheme="majorHAnsi" w:cs="Arial"/>
                <w:b/>
                <w:sz w:val="18"/>
                <w:szCs w:val="18"/>
              </w:rPr>
              <w:t>Assessment of Student Activities</w:t>
            </w:r>
          </w:p>
          <w:p w:rsidR="00025942" w:rsidRPr="00025942" w:rsidRDefault="00025942" w:rsidP="00025942">
            <w:pPr>
              <w:pStyle w:val="NoSpacing"/>
              <w:rPr>
                <w:rFonts w:asciiTheme="majorHAnsi" w:hAnsiTheme="majorHAnsi" w:cs="Arial"/>
                <w:b/>
                <w:sz w:val="18"/>
                <w:szCs w:val="18"/>
              </w:rPr>
            </w:pPr>
            <w:r w:rsidRPr="00025942">
              <w:rPr>
                <w:rFonts w:asciiTheme="majorHAnsi" w:hAnsiTheme="majorHAnsi" w:cs="Arial"/>
                <w:b/>
                <w:sz w:val="18"/>
                <w:szCs w:val="18"/>
              </w:rPr>
              <w:t>Criterion</w:t>
            </w:r>
            <w:r w:rsidRPr="00025942">
              <w:rPr>
                <w:rFonts w:asciiTheme="majorHAnsi" w:hAnsiTheme="majorHAnsi" w:cs="Arial"/>
                <w:b/>
                <w:sz w:val="18"/>
                <w:szCs w:val="18"/>
              </w:rPr>
              <w:tab/>
              <w:t>Maximum Number of Points</w:t>
            </w:r>
          </w:p>
          <w:p w:rsidR="00025942" w:rsidRPr="00025942" w:rsidRDefault="00025942" w:rsidP="00025942">
            <w:pPr>
              <w:pStyle w:val="NoSpacing"/>
              <w:rPr>
                <w:rFonts w:asciiTheme="majorHAnsi" w:hAnsiTheme="majorHAnsi" w:cs="Arial"/>
                <w:b/>
                <w:sz w:val="18"/>
                <w:szCs w:val="18"/>
              </w:rPr>
            </w:pPr>
            <w:r w:rsidRPr="00025942">
              <w:rPr>
                <w:rFonts w:asciiTheme="majorHAnsi" w:hAnsiTheme="majorHAnsi" w:cs="Arial"/>
                <w:b/>
                <w:sz w:val="18"/>
                <w:szCs w:val="18"/>
              </w:rPr>
              <w:t>Regular attendance</w:t>
            </w:r>
            <w:r w:rsidRPr="00025942">
              <w:rPr>
                <w:rFonts w:asciiTheme="majorHAnsi" w:hAnsiTheme="majorHAnsi" w:cs="Arial"/>
                <w:b/>
                <w:sz w:val="18"/>
                <w:szCs w:val="18"/>
              </w:rPr>
              <w:tab/>
            </w:r>
            <w:r>
              <w:rPr>
                <w:rFonts w:asciiTheme="majorHAnsi" w:hAnsiTheme="majorHAnsi" w:cs="Arial"/>
                <w:b/>
                <w:sz w:val="18"/>
                <w:szCs w:val="18"/>
              </w:rPr>
              <w:t xml:space="preserve">  </w:t>
            </w:r>
            <w:r w:rsidRPr="00025942">
              <w:rPr>
                <w:rFonts w:asciiTheme="majorHAnsi" w:hAnsiTheme="majorHAnsi" w:cs="Arial"/>
                <w:b/>
                <w:sz w:val="18"/>
                <w:szCs w:val="18"/>
              </w:rPr>
              <w:t>5</w:t>
            </w:r>
          </w:p>
          <w:p w:rsidR="00025942" w:rsidRPr="00025942" w:rsidRDefault="00025942" w:rsidP="00025942">
            <w:pPr>
              <w:pStyle w:val="NoSpacing"/>
              <w:rPr>
                <w:rFonts w:asciiTheme="majorHAnsi" w:hAnsiTheme="majorHAnsi" w:cs="Arial"/>
                <w:b/>
                <w:sz w:val="18"/>
                <w:szCs w:val="18"/>
              </w:rPr>
            </w:pPr>
            <w:r w:rsidRPr="00025942">
              <w:rPr>
                <w:rFonts w:asciiTheme="majorHAnsi" w:hAnsiTheme="majorHAnsi" w:cs="Arial"/>
                <w:b/>
                <w:sz w:val="18"/>
                <w:szCs w:val="18"/>
              </w:rPr>
              <w:t>Test I</w:t>
            </w:r>
            <w:r w:rsidRPr="00025942">
              <w:rPr>
                <w:rFonts w:asciiTheme="majorHAnsi" w:hAnsiTheme="majorHAnsi" w:cs="Arial"/>
                <w:b/>
                <w:sz w:val="18"/>
                <w:szCs w:val="18"/>
              </w:rPr>
              <w:tab/>
            </w:r>
            <w:r>
              <w:rPr>
                <w:rFonts w:asciiTheme="majorHAnsi" w:hAnsiTheme="majorHAnsi" w:cs="Arial"/>
                <w:b/>
                <w:sz w:val="18"/>
                <w:szCs w:val="18"/>
              </w:rPr>
              <w:t xml:space="preserve">                                    </w:t>
            </w:r>
            <w:r w:rsidRPr="00025942">
              <w:rPr>
                <w:rFonts w:asciiTheme="majorHAnsi" w:hAnsiTheme="majorHAnsi" w:cs="Arial"/>
                <w:b/>
                <w:sz w:val="18"/>
                <w:szCs w:val="18"/>
              </w:rPr>
              <w:t>20</w:t>
            </w:r>
          </w:p>
          <w:p w:rsidR="00025942" w:rsidRPr="00025942" w:rsidRDefault="00025942" w:rsidP="00025942">
            <w:pPr>
              <w:pStyle w:val="NoSpacing"/>
              <w:rPr>
                <w:rFonts w:asciiTheme="majorHAnsi" w:hAnsiTheme="majorHAnsi" w:cs="Arial"/>
                <w:b/>
                <w:sz w:val="18"/>
                <w:szCs w:val="18"/>
              </w:rPr>
            </w:pPr>
            <w:r w:rsidRPr="00025942">
              <w:rPr>
                <w:rFonts w:asciiTheme="majorHAnsi" w:hAnsiTheme="majorHAnsi" w:cs="Arial"/>
                <w:b/>
                <w:sz w:val="18"/>
                <w:szCs w:val="18"/>
              </w:rPr>
              <w:t>Test II</w:t>
            </w:r>
            <w:r>
              <w:rPr>
                <w:rFonts w:asciiTheme="majorHAnsi" w:hAnsiTheme="majorHAnsi" w:cs="Arial"/>
                <w:b/>
                <w:sz w:val="18"/>
                <w:szCs w:val="18"/>
              </w:rPr>
              <w:t xml:space="preserve">                       </w:t>
            </w:r>
            <w:r w:rsidRPr="00025942">
              <w:rPr>
                <w:rFonts w:asciiTheme="majorHAnsi" w:hAnsiTheme="majorHAnsi" w:cs="Arial"/>
                <w:b/>
                <w:sz w:val="18"/>
                <w:szCs w:val="18"/>
              </w:rPr>
              <w:tab/>
              <w:t>20</w:t>
            </w:r>
          </w:p>
          <w:p w:rsidR="00025942" w:rsidRPr="00025942" w:rsidRDefault="00025942" w:rsidP="00025942">
            <w:pPr>
              <w:pStyle w:val="NoSpacing"/>
              <w:rPr>
                <w:rFonts w:asciiTheme="majorHAnsi" w:hAnsiTheme="majorHAnsi" w:cs="Arial"/>
                <w:b/>
                <w:sz w:val="18"/>
                <w:szCs w:val="18"/>
              </w:rPr>
            </w:pPr>
            <w:r w:rsidRPr="00025942">
              <w:rPr>
                <w:rFonts w:asciiTheme="majorHAnsi" w:hAnsiTheme="majorHAnsi" w:cs="Arial"/>
                <w:b/>
                <w:sz w:val="18"/>
                <w:szCs w:val="18"/>
              </w:rPr>
              <w:t>Seminar paper/project</w:t>
            </w:r>
            <w:r w:rsidRPr="00025942">
              <w:rPr>
                <w:rFonts w:asciiTheme="majorHAnsi" w:hAnsiTheme="majorHAnsi" w:cs="Arial"/>
                <w:b/>
                <w:sz w:val="18"/>
                <w:szCs w:val="18"/>
              </w:rPr>
              <w:tab/>
              <w:t>15</w:t>
            </w:r>
          </w:p>
          <w:p w:rsidR="00025942" w:rsidRPr="00025942" w:rsidRDefault="00025942" w:rsidP="00025942">
            <w:pPr>
              <w:pStyle w:val="NoSpacing"/>
              <w:rPr>
                <w:rFonts w:asciiTheme="majorHAnsi" w:hAnsiTheme="majorHAnsi" w:cs="Arial"/>
                <w:b/>
                <w:sz w:val="18"/>
                <w:szCs w:val="18"/>
              </w:rPr>
            </w:pPr>
            <w:r w:rsidRPr="00025942">
              <w:rPr>
                <w:rFonts w:asciiTheme="majorHAnsi" w:hAnsiTheme="majorHAnsi" w:cs="Arial"/>
                <w:b/>
                <w:sz w:val="18"/>
                <w:szCs w:val="18"/>
              </w:rPr>
              <w:t>Final examination</w:t>
            </w:r>
            <w:r w:rsidRPr="00025942">
              <w:rPr>
                <w:rFonts w:asciiTheme="majorHAnsi" w:hAnsiTheme="majorHAnsi" w:cs="Arial"/>
                <w:b/>
                <w:sz w:val="18"/>
                <w:szCs w:val="18"/>
              </w:rPr>
              <w:tab/>
              <w:t>40</w:t>
            </w:r>
          </w:p>
          <w:p w:rsidR="00025942" w:rsidRPr="00025942" w:rsidRDefault="00025942" w:rsidP="00025942">
            <w:pPr>
              <w:pStyle w:val="NoSpacing"/>
              <w:rPr>
                <w:rFonts w:asciiTheme="majorHAnsi" w:hAnsiTheme="majorHAnsi" w:cs="Arial"/>
                <w:b/>
                <w:sz w:val="18"/>
                <w:szCs w:val="18"/>
              </w:rPr>
            </w:pPr>
            <w:r w:rsidRPr="00025942">
              <w:rPr>
                <w:rFonts w:asciiTheme="majorHAnsi" w:hAnsiTheme="majorHAnsi" w:cs="Arial"/>
                <w:b/>
                <w:sz w:val="18"/>
                <w:szCs w:val="18"/>
              </w:rPr>
              <w:t>Total</w:t>
            </w:r>
            <w:r w:rsidRPr="00025942">
              <w:rPr>
                <w:rFonts w:asciiTheme="majorHAnsi" w:hAnsiTheme="majorHAnsi" w:cs="Arial"/>
                <w:b/>
                <w:sz w:val="18"/>
                <w:szCs w:val="18"/>
              </w:rPr>
              <w:tab/>
            </w:r>
            <w:r>
              <w:rPr>
                <w:rFonts w:asciiTheme="majorHAnsi" w:hAnsiTheme="majorHAnsi" w:cs="Arial"/>
                <w:b/>
                <w:sz w:val="18"/>
                <w:szCs w:val="18"/>
              </w:rPr>
              <w:t xml:space="preserve">                                 </w:t>
            </w:r>
            <w:r w:rsidRPr="00025942">
              <w:rPr>
                <w:rFonts w:asciiTheme="majorHAnsi" w:hAnsiTheme="majorHAnsi" w:cs="Arial"/>
                <w:b/>
                <w:sz w:val="18"/>
                <w:szCs w:val="18"/>
              </w:rPr>
              <w:t>100</w:t>
            </w:r>
          </w:p>
          <w:p w:rsidR="00025942" w:rsidRPr="00025942" w:rsidRDefault="00025942" w:rsidP="00025942">
            <w:pPr>
              <w:pStyle w:val="NoSpacing"/>
              <w:rPr>
                <w:rFonts w:asciiTheme="majorHAnsi" w:hAnsiTheme="majorHAnsi" w:cs="Arial"/>
                <w:b/>
                <w:sz w:val="18"/>
                <w:szCs w:val="18"/>
              </w:rPr>
            </w:pPr>
            <w:r w:rsidRPr="00025942">
              <w:rPr>
                <w:rFonts w:asciiTheme="majorHAnsi" w:hAnsiTheme="majorHAnsi" w:cs="Arial"/>
                <w:b/>
                <w:sz w:val="18"/>
                <w:szCs w:val="18"/>
              </w:rPr>
              <w:t xml:space="preserve"> </w:t>
            </w:r>
          </w:p>
          <w:p w:rsidR="00025942" w:rsidRPr="00025942" w:rsidRDefault="00025942" w:rsidP="00025942">
            <w:pPr>
              <w:pStyle w:val="NoSpacing"/>
              <w:rPr>
                <w:rFonts w:asciiTheme="majorHAnsi" w:hAnsiTheme="majorHAnsi" w:cs="Arial"/>
                <w:b/>
                <w:sz w:val="18"/>
                <w:szCs w:val="18"/>
              </w:rPr>
            </w:pPr>
          </w:p>
          <w:p w:rsidR="00CB72ED" w:rsidRPr="00B96B4F" w:rsidRDefault="00607A6E" w:rsidP="00025942">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25942" w:rsidRPr="00025942" w:rsidRDefault="00607A6E" w:rsidP="0002594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25942" w:rsidRPr="00025942">
              <w:rPr>
                <w:rFonts w:asciiTheme="majorHAnsi" w:hAnsiTheme="majorHAnsi" w:cs="Arial"/>
                <w:b/>
                <w:sz w:val="18"/>
                <w:szCs w:val="18"/>
              </w:rPr>
              <w:t>1.Philip B., Bernhard. K., G.Simonneaux, Bioorganometallic chemistry, Springer, 2006.</w:t>
            </w:r>
          </w:p>
          <w:p w:rsidR="00025942" w:rsidRPr="00025942" w:rsidRDefault="00025942" w:rsidP="00025942">
            <w:pPr>
              <w:pStyle w:val="NoSpacing"/>
              <w:rPr>
                <w:rFonts w:asciiTheme="majorHAnsi" w:hAnsiTheme="majorHAnsi" w:cs="Arial"/>
                <w:b/>
                <w:sz w:val="18"/>
                <w:szCs w:val="18"/>
              </w:rPr>
            </w:pPr>
            <w:r w:rsidRPr="00025942">
              <w:rPr>
                <w:rFonts w:asciiTheme="majorHAnsi" w:hAnsiTheme="majorHAnsi" w:cs="Arial"/>
                <w:b/>
                <w:sz w:val="18"/>
                <w:szCs w:val="18"/>
              </w:rPr>
              <w:t>2.Lj. Tasić, Ciklodekstrini u savremenoj farmaceutskoj tehnologjii, Beograd, 1999.</w:t>
            </w:r>
          </w:p>
          <w:p w:rsidR="00CB72ED" w:rsidRPr="00B96B4F" w:rsidRDefault="00025942" w:rsidP="00025942">
            <w:pPr>
              <w:pStyle w:val="NoSpacing"/>
              <w:rPr>
                <w:rFonts w:asciiTheme="majorHAnsi" w:hAnsiTheme="majorHAnsi" w:cs="Arial"/>
                <w:b/>
                <w:sz w:val="18"/>
                <w:szCs w:val="18"/>
              </w:rPr>
            </w:pPr>
            <w:r w:rsidRPr="00025942">
              <w:rPr>
                <w:rFonts w:asciiTheme="majorHAnsi" w:hAnsiTheme="majorHAnsi" w:cs="Arial"/>
                <w:b/>
                <w:sz w:val="18"/>
                <w:szCs w:val="18"/>
              </w:rPr>
              <w:t>3. RM. Roat-Malone, Bioinorganic Chemistry, John Wiley &amp; Sons, New Jersey,200</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25942">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07A6E">
            <w:pPr>
              <w:pStyle w:val="NoSpacing"/>
              <w:jc w:val="center"/>
              <w:rPr>
                <w:rFonts w:asciiTheme="majorHAnsi" w:hAnsiTheme="majorHAnsi" w:cs="Arial"/>
                <w:b/>
                <w:sz w:val="18"/>
                <w:szCs w:val="18"/>
              </w:rPr>
            </w:pPr>
            <w:r w:rsidRPr="00145FE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145FE7">
              <w:rPr>
                <w:rFonts w:asciiTheme="majorHAnsi" w:hAnsiTheme="majorHAnsi" w:cs="Arial"/>
                <w:b/>
                <w:sz w:val="18"/>
                <w:szCs w:val="18"/>
              </w:rPr>
            </w:r>
            <w:r w:rsidRPr="00145FE7">
              <w:rPr>
                <w:rFonts w:asciiTheme="majorHAnsi" w:hAnsiTheme="majorHAnsi" w:cs="Arial"/>
                <w:b/>
                <w:sz w:val="18"/>
                <w:szCs w:val="18"/>
              </w:rPr>
              <w:fldChar w:fldCharType="separate"/>
            </w:r>
            <w:r w:rsidR="00FB48B6" w:rsidRPr="00145FE7">
              <w:rPr>
                <w:rFonts w:asciiTheme="majorHAnsi" w:hAnsiTheme="majorHAnsi" w:cs="Arial"/>
                <w:b/>
                <w:spacing w:val="215"/>
                <w:sz w:val="18"/>
                <w:szCs w:val="18"/>
              </w:rPr>
              <w:t>    </w:t>
            </w:r>
            <w:r w:rsidR="00FB48B6" w:rsidRPr="00145FE7">
              <w:rPr>
                <w:rFonts w:asciiTheme="majorHAnsi" w:hAnsiTheme="majorHAnsi" w:cs="Arial"/>
                <w:b/>
                <w:spacing w:val="3"/>
                <w:sz w:val="18"/>
                <w:szCs w:val="18"/>
              </w:rPr>
              <w:t> </w:t>
            </w:r>
            <w:r w:rsidRPr="00145FE7">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053" w:rsidRDefault="00765053">
      <w:pPr>
        <w:spacing w:line="240" w:lineRule="auto"/>
      </w:pPr>
      <w:r>
        <w:separator/>
      </w:r>
    </w:p>
  </w:endnote>
  <w:endnote w:type="continuationSeparator" w:id="0">
    <w:p w:rsidR="00765053" w:rsidRDefault="007650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268BB">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1268BB">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1268BB">
            <w:rPr>
              <w:rFonts w:ascii="Cambria" w:hAnsi="Cambria" w:cs="Calibri"/>
              <w:noProof/>
              <w:sz w:val="16"/>
              <w:szCs w:val="16"/>
            </w:rPr>
            <w:t>3</w:t>
          </w:r>
          <w:r w:rsidR="00607A6E">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053" w:rsidRDefault="00765053">
      <w:pPr>
        <w:spacing w:after="0"/>
      </w:pPr>
      <w:r>
        <w:separator/>
      </w:r>
    </w:p>
  </w:footnote>
  <w:footnote w:type="continuationSeparator" w:id="0">
    <w:p w:rsidR="00765053" w:rsidRDefault="007650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25942"/>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68BB"/>
    <w:rsid w:val="00127D3F"/>
    <w:rsid w:val="00141CB0"/>
    <w:rsid w:val="0014427D"/>
    <w:rsid w:val="00144785"/>
    <w:rsid w:val="001448D6"/>
    <w:rsid w:val="00145FE7"/>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5053"/>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5BE6"/>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9D068B-0C9E-4870-A6CD-EA72B725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C5F9D-009D-4BDD-A218-DB6FA5CB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Win10</cp:lastModifiedBy>
  <cp:revision>22</cp:revision>
  <cp:lastPrinted>2024-03-25T13:56:00Z</cp:lastPrinted>
  <dcterms:created xsi:type="dcterms:W3CDTF">2024-03-25T12:55:00Z</dcterms:created>
  <dcterms:modified xsi:type="dcterms:W3CDTF">2026-04-27T11:08:00Z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